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E8" w:rsidRPr="002F0AE8" w:rsidRDefault="002F0AE8" w:rsidP="002F0A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F0A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санитарно-эпидемиологических правил СП 3.1.2.3114-13 "Профилактика туберкулеза" (с изменениями на 6 февраля 2015 года)</w:t>
      </w:r>
    </w:p>
    <w:p w:rsidR="002F0AE8" w:rsidRPr="002F0AE8" w:rsidRDefault="002F0AE8" w:rsidP="002F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САНИТАРНЫЙ ВРАЧ РОССИЙСКОЙ ФЕДЕРАЦИИ </w:t>
      </w:r>
      <w:r w:rsidRPr="002F0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ПОСТАНОВЛЕНИЕ </w:t>
      </w:r>
      <w:r w:rsidRPr="002F0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22 октября 2013 года N 60</w:t>
      </w:r>
      <w:proofErr w:type="gramStart"/>
      <w:r w:rsidRPr="002F0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F0AE8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санитарно-эпидемиологических правил СП 3.1.2.3114-13 "Профилактика туберкулеза"</w:t>
      </w:r>
    </w:p>
    <w:p w:rsidR="002F0AE8" w:rsidRPr="002F0AE8" w:rsidRDefault="002F0AE8" w:rsidP="002F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E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6 февраля 2015 года)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center"/>
        <w:outlineLvl w:val="1"/>
      </w:pPr>
      <w:r w:rsidRPr="002F0AE8">
        <w:rPr>
          <w:rStyle w:val="a3"/>
        </w:rPr>
        <w:t>V. Организация раннего выявления туберкулеза у детей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 xml:space="preserve">5.1. В целях раннего выявления туберкулеза у детей </w:t>
      </w:r>
      <w:proofErr w:type="spellStart"/>
      <w:r w:rsidRPr="002F0AE8">
        <w:t>туберкулинодиагностика</w:t>
      </w:r>
      <w:proofErr w:type="spellEnd"/>
      <w:r w:rsidRPr="002F0AE8">
        <w:t xml:space="preserve"> проводится вакцинированным против туберкулеза детям с 12-месячного возраста и до достижения возраста 18 лет. Внутрикожную аллергическую пробу с туберкулином (далее - проба Манту) ставят 1 раз в год, независимо от результата предыдущих проб.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Ежегодный охват пробой Манту детей до 14 лет включительно должен составлять не менее 95%. В обязательном порядке обследуются дети из социально неблагополучных семей и проживающие на территории Российской Федерации дети иностранных граждан, прибывшие из неблагополучных по туберкулезу стран.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5.2. Проба Манту проводится 2 раза в год: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детям, не вакцинированным против туберкулеза по медицинским противопоказаниям, а также не привитым против туберкулеза по причине отказа родителей от иммунизации ребенка, до получения ребенком прививки против туберкулеза;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детям, получающим кортикостероидную, лучевую и цитостатическую терапию;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ВИЧ-инфицированным детям.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5.3. Постановка пробы Манту осуществляется средними медицинскими работниками детских, подростковых, амбулаторно-поликлинических и оздоровительных организаций, прошедших обучение в противотуберкулезных медицинских организациях и имеющих справку-допуск.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Средние медицинские работники детских, подростковых, амбулаторно-поликлинических и оздоровительных организаций проходят обучение в противотуберкулезных медицинских организациях не реже 1 раза в 2 года.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5.4. Не допускается проведение пробы Манту на дому, а также в детских и подростковых организациях в период карантина по инфекционным заболеваниям. Постановка проб Манту проводится до профилактических прививок.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5.5. Интервал между профилактической прививкой, биологической диагностической пробой и пробой Манту должен быть не менее одного месяца. В день постановки туберкулиновых проб проводится медицинский осмотр детей.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5.6. В течение 6 дней с момента постановки пробы Манту направляются на консультацию в противотуберкулезный диспансер по месту жительства следующие категории детей: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с впервые выявленной положительной реакцией (папула 5 мм и более), не связанной с предыдущей иммунизацией против туберкулеза;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с длительно сохраняющейся (4 года) реакцией (с инфильтратом 12 мм и более);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 xml:space="preserve">- с нарастанием чувствительности к туберкулину у </w:t>
      </w:r>
      <w:proofErr w:type="spellStart"/>
      <w:r w:rsidRPr="002F0AE8">
        <w:t>туберкулиноположительных</w:t>
      </w:r>
      <w:proofErr w:type="spellEnd"/>
      <w:r w:rsidRPr="002F0AE8">
        <w:t xml:space="preserve"> детей - увеличение инфильтрата на 6 мм и более;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>- увеличение менее чем на 6 мм, но с образованием инфильтрата размером 12 мм и более;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 xml:space="preserve">- с </w:t>
      </w:r>
      <w:proofErr w:type="spellStart"/>
      <w:r w:rsidRPr="002F0AE8">
        <w:t>гиперреакцией</w:t>
      </w:r>
      <w:proofErr w:type="spellEnd"/>
      <w:r w:rsidRPr="002F0AE8">
        <w:t xml:space="preserve"> на туберкулин - инфильтрат 17 мм и более;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 xml:space="preserve">- при </w:t>
      </w:r>
      <w:proofErr w:type="spellStart"/>
      <w:r w:rsidRPr="002F0AE8">
        <w:t>везикуло-некротической</w:t>
      </w:r>
      <w:proofErr w:type="spellEnd"/>
      <w:r w:rsidRPr="002F0AE8">
        <w:t xml:space="preserve"> реакции и лимфангите.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  <w:rPr>
          <w:color w:val="FF0000"/>
        </w:rPr>
      </w:pPr>
      <w:r w:rsidRPr="002F0AE8">
        <w:t xml:space="preserve">5.7. Дети, направленные на консультацию в противотуберкулезный диспансер, </w:t>
      </w:r>
      <w:r w:rsidRPr="002F0AE8">
        <w:rPr>
          <w:color w:val="FF0000"/>
        </w:rPr>
        <w:t xml:space="preserve">родители или законные представители которых не представили в течение 1 месяца с момента </w:t>
      </w:r>
      <w:r w:rsidRPr="002F0AE8">
        <w:rPr>
          <w:color w:val="FF0000"/>
        </w:rPr>
        <w:lastRenderedPageBreak/>
        <w:t>постановки пробы Манту заключение фтизиатра об отсутствии заболевания туберкулезом, не допускаются в детские организации.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  <w:rPr>
          <w:color w:val="FF0000"/>
        </w:rPr>
      </w:pPr>
      <w:r w:rsidRPr="002F0AE8">
        <w:rPr>
          <w:color w:val="FF0000"/>
        </w:rPr>
        <w:t xml:space="preserve">Дети, </w:t>
      </w:r>
      <w:proofErr w:type="spellStart"/>
      <w:r w:rsidRPr="002F0AE8">
        <w:rPr>
          <w:color w:val="FF0000"/>
        </w:rPr>
        <w:t>туберкулинодиагностика</w:t>
      </w:r>
      <w:proofErr w:type="spellEnd"/>
      <w:r w:rsidRPr="002F0AE8">
        <w:rPr>
          <w:color w:val="FF0000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2F0AE8" w:rsidRPr="002F0AE8" w:rsidRDefault="002F0AE8" w:rsidP="002F0AE8">
      <w:pPr>
        <w:pStyle w:val="consplusnormal"/>
        <w:spacing w:before="0" w:beforeAutospacing="0" w:after="0" w:afterAutospacing="0"/>
        <w:jc w:val="both"/>
      </w:pPr>
      <w:r w:rsidRPr="002F0AE8">
        <w:t xml:space="preserve">5.8. </w:t>
      </w:r>
      <w:proofErr w:type="gramStart"/>
      <w:r w:rsidRPr="002F0AE8">
        <w:t xml:space="preserve">Планирование, организация, своевременный и полный учет проведенных проб Манту (проводимых с целью раннего выявления туберкулеза и иммунизации против туберкулеза) по данным индивидуального учета детского населения, а также взаимодействие с медицинскими противотуберкулезными организациями по вопросу своевременной явки и обследования детей, направленных на </w:t>
      </w:r>
      <w:proofErr w:type="spellStart"/>
      <w:r w:rsidRPr="002F0AE8">
        <w:t>дообследование</w:t>
      </w:r>
      <w:proofErr w:type="spellEnd"/>
      <w:r w:rsidRPr="002F0AE8">
        <w:t xml:space="preserve"> к фтизиатру по результатам </w:t>
      </w:r>
      <w:proofErr w:type="spellStart"/>
      <w:r w:rsidRPr="002F0AE8">
        <w:t>туберкулинодиагностики</w:t>
      </w:r>
      <w:proofErr w:type="spellEnd"/>
      <w:r w:rsidRPr="002F0AE8">
        <w:t>, обеспечивается руководителями медицинских организаций.</w:t>
      </w:r>
      <w:proofErr w:type="gramEnd"/>
    </w:p>
    <w:p w:rsidR="007E7515" w:rsidRPr="002F0AE8" w:rsidRDefault="007E7515" w:rsidP="002F0AE8">
      <w:pPr>
        <w:spacing w:after="0" w:line="240" w:lineRule="auto"/>
        <w:rPr>
          <w:sz w:val="24"/>
          <w:szCs w:val="24"/>
        </w:rPr>
      </w:pPr>
    </w:p>
    <w:sectPr w:rsidR="007E7515" w:rsidRPr="002F0AE8" w:rsidSect="007E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AE8"/>
    <w:rsid w:val="002F0AE8"/>
    <w:rsid w:val="007E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0AE8"/>
    <w:rPr>
      <w:b/>
      <w:bCs/>
    </w:rPr>
  </w:style>
  <w:style w:type="paragraph" w:customStyle="1" w:styleId="consplusnormal">
    <w:name w:val="consplusnormal"/>
    <w:basedOn w:val="a"/>
    <w:rsid w:val="002F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Company>HP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2019-04-02T05:51:00Z</dcterms:created>
  <dcterms:modified xsi:type="dcterms:W3CDTF">2019-04-02T05:51:00Z</dcterms:modified>
</cp:coreProperties>
</file>